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6F5B4" w14:textId="77777777" w:rsidR="00C33C98" w:rsidRDefault="0069225F" w:rsidP="00471AAC">
      <w:pPr>
        <w:spacing w:before="60" w:after="60" w:line="320" w:lineRule="atLeast"/>
        <w:ind w:left="75"/>
        <w:jc w:val="center"/>
        <w:rPr>
          <w:rFonts w:ascii="Book Antiqua" w:hAnsi="Book Antiqua"/>
          <w:b/>
        </w:rPr>
      </w:pPr>
      <w:r w:rsidRPr="008E583E">
        <w:rPr>
          <w:rFonts w:ascii="Book Antiqua" w:hAnsi="Book Antiqua"/>
          <w:b/>
        </w:rPr>
        <w:tab/>
      </w:r>
      <w:r w:rsidRPr="008E583E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  <w:r w:rsidR="00003DBD">
        <w:rPr>
          <w:rFonts w:ascii="Book Antiqua" w:hAnsi="Book Antiqua"/>
          <w:b/>
        </w:rPr>
        <w:tab/>
      </w:r>
    </w:p>
    <w:p w14:paraId="74FA57AB" w14:textId="056CB60A" w:rsidR="00471AAC" w:rsidRPr="005C0636" w:rsidRDefault="00471AAC" w:rsidP="00C33C98">
      <w:pPr>
        <w:spacing w:before="60" w:after="60" w:line="320" w:lineRule="atLeast"/>
        <w:ind w:left="75"/>
        <w:jc w:val="right"/>
        <w:rPr>
          <w:rFonts w:ascii="Book Antiqua" w:hAnsi="Book Antiqua"/>
          <w:bCs/>
          <w:i/>
        </w:rPr>
      </w:pPr>
      <w:r w:rsidRPr="005C0636">
        <w:rPr>
          <w:rFonts w:ascii="Book Antiqua" w:hAnsi="Book Antiqua"/>
          <w:bCs/>
          <w:i/>
        </w:rPr>
        <w:t>Приложение 6</w:t>
      </w:r>
    </w:p>
    <w:p w14:paraId="6F510E37" w14:textId="77777777" w:rsidR="00FB3BEB" w:rsidRDefault="00FB3BEB" w:rsidP="00FB3BEB">
      <w:pPr>
        <w:tabs>
          <w:tab w:val="left" w:pos="720"/>
        </w:tabs>
        <w:jc w:val="center"/>
        <w:rPr>
          <w:b/>
        </w:rPr>
      </w:pPr>
    </w:p>
    <w:p w14:paraId="49247EF5" w14:textId="77777777" w:rsidR="00FB3BEB" w:rsidRDefault="00FB3BEB" w:rsidP="00FB3BEB">
      <w:pPr>
        <w:tabs>
          <w:tab w:val="left" w:pos="720"/>
        </w:tabs>
        <w:jc w:val="center"/>
        <w:rPr>
          <w:b/>
        </w:rPr>
      </w:pPr>
    </w:p>
    <w:p w14:paraId="339C649C" w14:textId="139B554F" w:rsidR="00FB3BEB" w:rsidRPr="00A2541C" w:rsidRDefault="00FB3BEB" w:rsidP="00FB3BEB">
      <w:pPr>
        <w:tabs>
          <w:tab w:val="left" w:pos="720"/>
        </w:tabs>
        <w:jc w:val="center"/>
        <w:rPr>
          <w:b/>
        </w:rPr>
      </w:pPr>
      <w:r w:rsidRPr="00CD17B3">
        <w:rPr>
          <w:b/>
        </w:rPr>
        <w:t xml:space="preserve">ДЕКЛАРАЦИЯ ЗА СЪОТВЕТСТВИЕ  С ИЗИСКВАНИЯТА ЗА ДОПУСТИМОСТ  НА КАНДИДАТА </w:t>
      </w:r>
      <w:r w:rsidRPr="00A2541C">
        <w:rPr>
          <w:b/>
          <w:snapToGrid w:val="0"/>
          <w:vertAlign w:val="superscript"/>
          <w:lang w:eastAsia="en-US"/>
        </w:rPr>
        <w:footnoteReference w:id="1"/>
      </w:r>
    </w:p>
    <w:p w14:paraId="11CC8C57" w14:textId="77777777" w:rsidR="00FB3BEB" w:rsidRPr="00A2541C" w:rsidRDefault="00FB3BEB" w:rsidP="00FB3BEB">
      <w:pPr>
        <w:tabs>
          <w:tab w:val="left" w:pos="720"/>
        </w:tabs>
        <w:jc w:val="both"/>
        <w:rPr>
          <w:b/>
        </w:rPr>
      </w:pPr>
    </w:p>
    <w:p w14:paraId="6F30AD02" w14:textId="77777777" w:rsidR="00FB3BEB" w:rsidRPr="00A2541C" w:rsidRDefault="00FB3BEB" w:rsidP="00FB3BEB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396A29E7" w14:textId="77777777" w:rsidR="00FB3BEB" w:rsidRPr="00A2541C" w:rsidRDefault="00FB3BEB" w:rsidP="00FB3BEB">
      <w:pPr>
        <w:spacing w:line="276" w:lineRule="auto"/>
        <w:ind w:right="215"/>
        <w:rPr>
          <w:spacing w:val="-1"/>
        </w:rPr>
      </w:pPr>
      <w:r w:rsidRPr="00A2541C">
        <w:rPr>
          <w:spacing w:val="-1"/>
        </w:rPr>
        <w:t>1/ Подписаният ....................................................................................................................,</w:t>
      </w:r>
    </w:p>
    <w:p w14:paraId="38D64647" w14:textId="77777777" w:rsidR="00FB3BEB" w:rsidRPr="00A2541C" w:rsidRDefault="00FB3BEB" w:rsidP="00FB3BEB">
      <w:pPr>
        <w:spacing w:line="276" w:lineRule="auto"/>
        <w:ind w:left="2832" w:right="215" w:firstLine="708"/>
        <w:rPr>
          <w:i/>
          <w:spacing w:val="-1"/>
          <w:sz w:val="22"/>
          <w:szCs w:val="22"/>
        </w:rPr>
      </w:pPr>
      <w:r w:rsidRPr="00A2541C">
        <w:rPr>
          <w:i/>
          <w:spacing w:val="-1"/>
          <w:sz w:val="22"/>
          <w:szCs w:val="22"/>
        </w:rPr>
        <w:t>(трите имена)</w:t>
      </w:r>
    </w:p>
    <w:p w14:paraId="0F52F6F3" w14:textId="77777777" w:rsidR="00FB3BEB" w:rsidRPr="00A2541C" w:rsidRDefault="00FB3BEB" w:rsidP="00FB3BEB">
      <w:pPr>
        <w:spacing w:line="276" w:lineRule="auto"/>
        <w:ind w:right="215"/>
        <w:rPr>
          <w:spacing w:val="-1"/>
        </w:rPr>
      </w:pPr>
      <w:r w:rsidRPr="00A2541C">
        <w:rPr>
          <w:spacing w:val="-1"/>
        </w:rPr>
        <w:t>с ЕГН/ЛН/ЛНЧ …………………………………………………,</w:t>
      </w:r>
    </w:p>
    <w:p w14:paraId="7CD883FE" w14:textId="77777777" w:rsidR="00FB3BEB" w:rsidRPr="00A2541C" w:rsidRDefault="00FB3BEB" w:rsidP="00FB3BEB">
      <w:pPr>
        <w:spacing w:line="276" w:lineRule="auto"/>
        <w:ind w:right="215"/>
        <w:rPr>
          <w:spacing w:val="-1"/>
        </w:rPr>
      </w:pPr>
    </w:p>
    <w:p w14:paraId="194C9E90" w14:textId="77777777" w:rsidR="00FB3BEB" w:rsidRPr="00A2541C" w:rsidRDefault="00FB3BEB" w:rsidP="00FB3BEB">
      <w:pPr>
        <w:spacing w:line="276" w:lineRule="auto"/>
        <w:ind w:right="215"/>
        <w:jc w:val="both"/>
        <w:rPr>
          <w:i/>
          <w:spacing w:val="-1"/>
        </w:rPr>
      </w:pPr>
      <w:r w:rsidRPr="00A2541C">
        <w:rPr>
          <w:spacing w:val="-1"/>
        </w:rPr>
        <w:t xml:space="preserve">в качеството ми на законен представител </w:t>
      </w: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законно пр</w:t>
      </w:r>
      <w:r>
        <w:rPr>
          <w:i/>
          <w:spacing w:val="-1"/>
          <w:sz w:val="22"/>
          <w:szCs w:val="22"/>
        </w:rPr>
        <w:t>едставителство, вписано в ТР</w:t>
      </w:r>
      <w:r w:rsidRPr="00A2541C">
        <w:rPr>
          <w:i/>
          <w:spacing w:val="-1"/>
          <w:sz w:val="22"/>
          <w:szCs w:val="22"/>
        </w:rPr>
        <w:t>ЮЛНЦ</w:t>
      </w:r>
      <w:r w:rsidRPr="00A2541C">
        <w:rPr>
          <w:i/>
          <w:spacing w:val="-1"/>
        </w:rPr>
        <w:t>),</w:t>
      </w:r>
    </w:p>
    <w:p w14:paraId="2B6BB462" w14:textId="77777777" w:rsidR="00FB3BEB" w:rsidRPr="00A2541C" w:rsidRDefault="00FB3BEB" w:rsidP="00FB3BEB">
      <w:pPr>
        <w:spacing w:line="276" w:lineRule="auto"/>
        <w:ind w:right="215"/>
        <w:rPr>
          <w:spacing w:val="-1"/>
        </w:rPr>
      </w:pPr>
    </w:p>
    <w:p w14:paraId="5DF3E4AC" w14:textId="77777777" w:rsidR="00FB3BEB" w:rsidRPr="00A2541C" w:rsidRDefault="00FB3BEB" w:rsidP="00FB3BEB">
      <w:pPr>
        <w:spacing w:line="276" w:lineRule="auto"/>
        <w:ind w:right="215"/>
        <w:rPr>
          <w:spacing w:val="-1"/>
        </w:rPr>
      </w:pPr>
      <w:r w:rsidRPr="00A2541C">
        <w:rPr>
          <w:spacing w:val="-1"/>
        </w:rPr>
        <w:t>2/ Подписаният ....................................................................................................................,</w:t>
      </w:r>
    </w:p>
    <w:p w14:paraId="709888DA" w14:textId="77777777" w:rsidR="00FB3BEB" w:rsidRPr="00A2541C" w:rsidRDefault="00FB3BEB" w:rsidP="00FB3BEB">
      <w:pPr>
        <w:spacing w:line="276" w:lineRule="auto"/>
        <w:ind w:left="2124" w:right="215" w:firstLine="708"/>
        <w:rPr>
          <w:i/>
          <w:spacing w:val="-1"/>
          <w:sz w:val="22"/>
          <w:szCs w:val="22"/>
        </w:rPr>
      </w:pPr>
      <w:r w:rsidRPr="00A2541C">
        <w:rPr>
          <w:i/>
          <w:spacing w:val="-1"/>
          <w:sz w:val="22"/>
          <w:szCs w:val="22"/>
        </w:rPr>
        <w:t>(трите имена)</w:t>
      </w:r>
    </w:p>
    <w:p w14:paraId="26C70264" w14:textId="77777777" w:rsidR="00FB3BEB" w:rsidRPr="00A2541C" w:rsidRDefault="00FB3BEB" w:rsidP="00FB3BEB">
      <w:pPr>
        <w:spacing w:line="276" w:lineRule="auto"/>
        <w:ind w:right="215"/>
        <w:rPr>
          <w:spacing w:val="-1"/>
        </w:rPr>
      </w:pPr>
      <w:r w:rsidRPr="00A2541C">
        <w:rPr>
          <w:spacing w:val="-1"/>
        </w:rPr>
        <w:t>с ЕГН/ЛН/ЛНЧ …………………………………………………,</w:t>
      </w:r>
    </w:p>
    <w:p w14:paraId="3BB37F16" w14:textId="77777777" w:rsidR="00FB3BEB" w:rsidRPr="00A2541C" w:rsidRDefault="00FB3BEB" w:rsidP="00FB3BEB">
      <w:pPr>
        <w:spacing w:line="276" w:lineRule="auto"/>
        <w:ind w:right="215"/>
        <w:rPr>
          <w:spacing w:val="-1"/>
        </w:rPr>
      </w:pPr>
    </w:p>
    <w:p w14:paraId="701F30C7" w14:textId="77777777" w:rsidR="00FB3BEB" w:rsidRPr="00A2541C" w:rsidRDefault="00FB3BEB" w:rsidP="00FB3BEB">
      <w:pPr>
        <w:spacing w:line="276" w:lineRule="auto"/>
        <w:ind w:right="215"/>
        <w:jc w:val="both"/>
        <w:rPr>
          <w:i/>
          <w:spacing w:val="-1"/>
        </w:rPr>
      </w:pPr>
      <w:r w:rsidRPr="00A2541C">
        <w:rPr>
          <w:spacing w:val="-1"/>
        </w:rPr>
        <w:t xml:space="preserve">в качеството ми на законен представител </w:t>
      </w: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законно пр</w:t>
      </w:r>
      <w:r>
        <w:rPr>
          <w:i/>
          <w:spacing w:val="-1"/>
          <w:sz w:val="22"/>
          <w:szCs w:val="22"/>
        </w:rPr>
        <w:t>едставителство, вписано в ТР</w:t>
      </w:r>
      <w:r w:rsidRPr="00A2541C">
        <w:rPr>
          <w:i/>
          <w:spacing w:val="-1"/>
          <w:sz w:val="22"/>
          <w:szCs w:val="22"/>
        </w:rPr>
        <w:t>ЮЛНЦ</w:t>
      </w:r>
      <w:r w:rsidRPr="00A2541C">
        <w:rPr>
          <w:i/>
          <w:spacing w:val="-1"/>
        </w:rPr>
        <w:t>),</w:t>
      </w:r>
    </w:p>
    <w:p w14:paraId="779F2E90" w14:textId="77777777" w:rsidR="00FB3BEB" w:rsidRPr="00A2541C" w:rsidRDefault="00FB3BEB" w:rsidP="00FB3BEB">
      <w:pPr>
        <w:spacing w:line="276" w:lineRule="auto"/>
        <w:ind w:right="215"/>
        <w:rPr>
          <w:spacing w:val="-1"/>
        </w:rPr>
      </w:pPr>
    </w:p>
    <w:p w14:paraId="30CA3649" w14:textId="77777777" w:rsidR="00FB3BEB" w:rsidRPr="00A2541C" w:rsidRDefault="00FB3BEB" w:rsidP="00FB3BEB">
      <w:pPr>
        <w:spacing w:line="276" w:lineRule="auto"/>
        <w:ind w:right="215"/>
        <w:rPr>
          <w:spacing w:val="-1"/>
        </w:rPr>
      </w:pPr>
      <w:r w:rsidRPr="00A2541C">
        <w:rPr>
          <w:spacing w:val="-1"/>
        </w:rPr>
        <w:t xml:space="preserve">на </w:t>
      </w:r>
      <w:r>
        <w:rPr>
          <w:spacing w:val="-1"/>
          <w:lang w:val="en-GB"/>
        </w:rPr>
        <w:t>…………………….</w:t>
      </w:r>
      <w:r w:rsidRPr="00A2541C">
        <w:rPr>
          <w:spacing w:val="-1"/>
        </w:rPr>
        <w:t>.................................................................................................................</w:t>
      </w:r>
    </w:p>
    <w:p w14:paraId="58915E9E" w14:textId="77777777" w:rsidR="00FB3BEB" w:rsidRPr="00A2541C" w:rsidRDefault="00FB3BEB" w:rsidP="00FB3BEB">
      <w:pPr>
        <w:spacing w:line="276" w:lineRule="auto"/>
        <w:ind w:right="215"/>
        <w:jc w:val="center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>(наименование на</w:t>
      </w:r>
      <w:r>
        <w:rPr>
          <w:i/>
          <w:spacing w:val="-1"/>
          <w:sz w:val="22"/>
          <w:szCs w:val="22"/>
          <w:lang w:val="en-GB"/>
        </w:rPr>
        <w:t xml:space="preserve"> </w:t>
      </w:r>
      <w:r>
        <w:rPr>
          <w:i/>
          <w:spacing w:val="-1"/>
          <w:sz w:val="22"/>
          <w:szCs w:val="22"/>
        </w:rPr>
        <w:t>лечебното заведение - кандидат</w:t>
      </w:r>
      <w:r w:rsidRPr="00A2541C">
        <w:rPr>
          <w:i/>
          <w:spacing w:val="-1"/>
          <w:sz w:val="22"/>
          <w:szCs w:val="22"/>
        </w:rPr>
        <w:t>)</w:t>
      </w:r>
    </w:p>
    <w:p w14:paraId="5BE7B3E8" w14:textId="77777777" w:rsidR="00FB3BEB" w:rsidRPr="00A2541C" w:rsidRDefault="00FB3BEB" w:rsidP="00FB3BEB">
      <w:pPr>
        <w:spacing w:line="276" w:lineRule="auto"/>
        <w:ind w:right="215"/>
        <w:rPr>
          <w:spacing w:val="-1"/>
        </w:rPr>
      </w:pPr>
    </w:p>
    <w:p w14:paraId="62EDA352" w14:textId="77777777" w:rsidR="00FB3BEB" w:rsidRPr="00A2541C" w:rsidRDefault="00FB3BEB" w:rsidP="00FB3BEB">
      <w:pPr>
        <w:spacing w:line="276" w:lineRule="auto"/>
        <w:ind w:right="215"/>
        <w:jc w:val="both"/>
        <w:rPr>
          <w:b/>
        </w:rPr>
      </w:pPr>
      <w:r w:rsidRPr="002531F3">
        <w:t xml:space="preserve">с ЕИК …………………………………………, </w:t>
      </w:r>
    </w:p>
    <w:p w14:paraId="519F6B09" w14:textId="77777777" w:rsidR="00FB3BEB" w:rsidRPr="00A2541C" w:rsidRDefault="00FB3BEB" w:rsidP="00FB3BEB">
      <w:pPr>
        <w:tabs>
          <w:tab w:val="left" w:pos="720"/>
        </w:tabs>
        <w:jc w:val="center"/>
        <w:rPr>
          <w:b/>
        </w:rPr>
      </w:pPr>
    </w:p>
    <w:p w14:paraId="6BDA27D6" w14:textId="77777777" w:rsidR="00FB3BEB" w:rsidRPr="00A2541C" w:rsidRDefault="00FB3BEB" w:rsidP="00FB3BEB">
      <w:pPr>
        <w:pStyle w:val="NormalWeb"/>
        <w:spacing w:before="60" w:beforeAutospacing="0" w:after="0" w:afterAutospacing="0"/>
        <w:jc w:val="both"/>
        <w:rPr>
          <w:b/>
        </w:rPr>
      </w:pPr>
      <w:r w:rsidRPr="00A2541C">
        <w:rPr>
          <w:rStyle w:val="spelle"/>
          <w:b/>
        </w:rPr>
        <w:t>Декларирам</w:t>
      </w:r>
      <w:r w:rsidRPr="00A2541C">
        <w:rPr>
          <w:b/>
        </w:rPr>
        <w:t xml:space="preserve">, </w:t>
      </w:r>
      <w:r w:rsidRPr="00A2541C">
        <w:rPr>
          <w:rStyle w:val="spelle"/>
          <w:b/>
        </w:rPr>
        <w:t>че</w:t>
      </w:r>
      <w:r w:rsidRPr="00A2541C">
        <w:rPr>
          <w:b/>
        </w:rPr>
        <w:t xml:space="preserve">: </w:t>
      </w:r>
    </w:p>
    <w:p w14:paraId="2B372857" w14:textId="77777777" w:rsidR="00FB3BEB" w:rsidRPr="00A2541C" w:rsidRDefault="00FB3BEB" w:rsidP="00FB3BEB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rFonts w:eastAsia="Calibri"/>
        </w:rPr>
      </w:pPr>
      <w:r w:rsidRPr="00A2541C">
        <w:rPr>
          <w:rFonts w:eastAsia="Calibri"/>
        </w:rPr>
        <w:t>Не съм осъден/а с влязла в сила присъда за:</w:t>
      </w:r>
    </w:p>
    <w:p w14:paraId="7E136526" w14:textId="77777777" w:rsidR="00FB3BEB" w:rsidRPr="00A2541C" w:rsidRDefault="00FB3BEB" w:rsidP="00FB3BEB">
      <w:pPr>
        <w:numPr>
          <w:ilvl w:val="0"/>
          <w:numId w:val="4"/>
        </w:numPr>
        <w:spacing w:before="60"/>
        <w:ind w:left="567"/>
        <w:jc w:val="both"/>
        <w:rPr>
          <w:rFonts w:eastAsia="Calibri"/>
        </w:rPr>
      </w:pPr>
      <w:r w:rsidRPr="00A2541C">
        <w:rPr>
          <w:rFonts w:eastAsia="Calibri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91C50F3" w14:textId="77777777" w:rsidR="00FB3BEB" w:rsidRPr="00A2541C" w:rsidRDefault="00FB3BEB" w:rsidP="00FB3BEB">
      <w:pPr>
        <w:numPr>
          <w:ilvl w:val="0"/>
          <w:numId w:val="4"/>
        </w:numPr>
        <w:spacing w:before="60"/>
        <w:ind w:left="567"/>
        <w:jc w:val="both"/>
        <w:rPr>
          <w:rFonts w:eastAsia="Calibri"/>
        </w:rPr>
      </w:pPr>
      <w:r w:rsidRPr="00A2541C">
        <w:rPr>
          <w:rFonts w:eastAsia="Calibri"/>
        </w:rPr>
        <w:t>престъпление, аналогично на тези по горната хипотеза, в друга държава членка или трета страна;</w:t>
      </w:r>
    </w:p>
    <w:p w14:paraId="5E5A54B7" w14:textId="77777777" w:rsidR="00FB3BEB" w:rsidRPr="00A2541C" w:rsidRDefault="00FB3BEB" w:rsidP="00FB3BEB">
      <w:pPr>
        <w:numPr>
          <w:ilvl w:val="0"/>
          <w:numId w:val="2"/>
        </w:numPr>
        <w:tabs>
          <w:tab w:val="left" w:pos="284"/>
        </w:tabs>
        <w:spacing w:before="60"/>
        <w:ind w:left="284" w:hanging="284"/>
        <w:jc w:val="both"/>
        <w:rPr>
          <w:rFonts w:eastAsia="Calibri"/>
        </w:rPr>
      </w:pPr>
      <w:r w:rsidRPr="00A2541C">
        <w:rPr>
          <w:rFonts w:eastAsia="Calibri"/>
        </w:rPr>
        <w:t xml:space="preserve">Не е налице конфликт на интереси във връзка с процедурата за </w:t>
      </w:r>
      <w:r w:rsidRPr="000002AE">
        <w:rPr>
          <w:rFonts w:eastAsia="Calibri"/>
        </w:rPr>
        <w:t>предоставяне на безвъзмездна финансова помощ</w:t>
      </w:r>
      <w:r w:rsidRPr="00A2541C">
        <w:rPr>
          <w:rFonts w:eastAsia="Calibri"/>
        </w:rPr>
        <w:t>, който не може да бъде отстранен;</w:t>
      </w:r>
    </w:p>
    <w:p w14:paraId="4A70D389" w14:textId="77777777" w:rsidR="00FB3BEB" w:rsidRPr="00A2541C" w:rsidRDefault="00FB3BEB" w:rsidP="00FB3BEB">
      <w:pPr>
        <w:numPr>
          <w:ilvl w:val="0"/>
          <w:numId w:val="2"/>
        </w:numPr>
        <w:tabs>
          <w:tab w:val="left" w:pos="284"/>
        </w:tabs>
        <w:spacing w:before="60"/>
        <w:ind w:left="0" w:firstLine="0"/>
        <w:jc w:val="both"/>
        <w:rPr>
          <w:rFonts w:eastAsia="Calibri"/>
        </w:rPr>
      </w:pPr>
      <w:r w:rsidRPr="00A2541C">
        <w:rPr>
          <w:rFonts w:eastAsia="Calibri"/>
        </w:rPr>
        <w:t>Не съм опитал да:</w:t>
      </w:r>
    </w:p>
    <w:p w14:paraId="65700D8D" w14:textId="77777777" w:rsidR="00FB3BEB" w:rsidRPr="00A2541C" w:rsidRDefault="00FB3BEB" w:rsidP="00FB3BEB">
      <w:pPr>
        <w:spacing w:before="60"/>
        <w:jc w:val="both"/>
        <w:rPr>
          <w:rFonts w:eastAsia="Calibri"/>
        </w:rPr>
      </w:pPr>
      <w:r w:rsidRPr="00A2541C">
        <w:rPr>
          <w:rFonts w:eastAsia="Calibri"/>
        </w:rPr>
        <w:t xml:space="preserve">а) повлияя на вземането на решение от страна на </w:t>
      </w:r>
      <w:r>
        <w:rPr>
          <w:rFonts w:eastAsia="Calibri"/>
        </w:rPr>
        <w:t>НДЕФ</w:t>
      </w:r>
      <w:r w:rsidRPr="00A2541C">
        <w:rPr>
          <w:rFonts w:eastAsia="Calibri"/>
        </w:rPr>
        <w:t>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16C4D1D0" w14:textId="77777777" w:rsidR="00FB3BEB" w:rsidRPr="00A2541C" w:rsidRDefault="00FB3BEB" w:rsidP="00FB3BEB">
      <w:pPr>
        <w:spacing w:before="60"/>
        <w:jc w:val="both"/>
        <w:rPr>
          <w:rFonts w:eastAsia="Calibri"/>
        </w:rPr>
      </w:pPr>
      <w:r w:rsidRPr="00A2541C">
        <w:rPr>
          <w:rFonts w:eastAsia="Calibri"/>
        </w:rPr>
        <w:t xml:space="preserve">б) получа информация, която може да ми даде неоснователно предимство в процедурата за </w:t>
      </w:r>
      <w:r w:rsidRPr="005E17B5">
        <w:t>предоставяне на безвъзмездна финансова помощ</w:t>
      </w:r>
      <w:r w:rsidRPr="00A2541C">
        <w:rPr>
          <w:rFonts w:eastAsia="Calibri"/>
        </w:rPr>
        <w:t>.</w:t>
      </w:r>
    </w:p>
    <w:p w14:paraId="17B1C825" w14:textId="77777777" w:rsidR="00FB3BEB" w:rsidRPr="00A2541C" w:rsidRDefault="00FB3BEB" w:rsidP="00FB3BEB">
      <w:pPr>
        <w:numPr>
          <w:ilvl w:val="0"/>
          <w:numId w:val="2"/>
        </w:numPr>
        <w:tabs>
          <w:tab w:val="left" w:pos="426"/>
        </w:tabs>
        <w:spacing w:before="60"/>
        <w:ind w:left="0" w:firstLine="0"/>
        <w:jc w:val="both"/>
        <w:rPr>
          <w:rFonts w:eastAsia="Calibri"/>
        </w:rPr>
      </w:pPr>
      <w:r w:rsidRPr="00A2541C">
        <w:rPr>
          <w:rFonts w:eastAsia="Calibri"/>
        </w:rPr>
        <w:t>По отношение на представлявания от мен кандидат</w:t>
      </w:r>
      <w:r w:rsidRPr="00A2541C" w:rsidDel="0005350A">
        <w:rPr>
          <w:rFonts w:eastAsia="Calibri"/>
        </w:rPr>
        <w:t xml:space="preserve"> </w:t>
      </w:r>
      <w:r w:rsidRPr="00A2541C">
        <w:rPr>
          <w:rFonts w:eastAsia="Calibri"/>
        </w:rPr>
        <w:t xml:space="preserve">не е налице неравнопоставеност </w:t>
      </w:r>
      <w:r>
        <w:rPr>
          <w:rFonts w:eastAsia="Calibri"/>
        </w:rPr>
        <w:t>при участие в процедурата за предоставяне на безвъзмездна финансова помощ</w:t>
      </w:r>
      <w:r w:rsidRPr="00A2541C">
        <w:rPr>
          <w:rFonts w:eastAsia="Calibri"/>
        </w:rPr>
        <w:t>;</w:t>
      </w:r>
    </w:p>
    <w:p w14:paraId="1A57F408" w14:textId="77777777" w:rsidR="00FB3BEB" w:rsidRPr="00A2541C" w:rsidRDefault="00FB3BEB" w:rsidP="00FB3BEB">
      <w:pPr>
        <w:numPr>
          <w:ilvl w:val="0"/>
          <w:numId w:val="2"/>
        </w:numPr>
        <w:tabs>
          <w:tab w:val="left" w:pos="426"/>
        </w:tabs>
        <w:spacing w:before="60"/>
        <w:ind w:left="0" w:firstLine="0"/>
        <w:jc w:val="both"/>
        <w:rPr>
          <w:rFonts w:eastAsia="Calibri"/>
        </w:rPr>
      </w:pPr>
      <w:r w:rsidRPr="00A2541C">
        <w:rPr>
          <w:rFonts w:eastAsia="Calibri"/>
        </w:rPr>
        <w:t>Не е установено, че:</w:t>
      </w:r>
    </w:p>
    <w:p w14:paraId="3B39A069" w14:textId="77777777" w:rsidR="00FB3BEB" w:rsidRPr="00A2541C" w:rsidRDefault="00FB3BEB" w:rsidP="00FB3BEB">
      <w:pPr>
        <w:spacing w:before="60"/>
        <w:jc w:val="both"/>
        <w:rPr>
          <w:rFonts w:eastAsia="Calibri"/>
        </w:rPr>
      </w:pPr>
      <w:r w:rsidRPr="00A2541C">
        <w:rPr>
          <w:rFonts w:eastAsia="Calibri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2CCBBD41" w14:textId="77777777" w:rsidR="00FB3BEB" w:rsidRPr="00A2541C" w:rsidRDefault="00FB3BEB" w:rsidP="00FB3BEB">
      <w:pPr>
        <w:spacing w:before="60"/>
        <w:jc w:val="both"/>
        <w:rPr>
          <w:rFonts w:eastAsia="Calibri"/>
        </w:rPr>
      </w:pPr>
      <w:r w:rsidRPr="00A2541C">
        <w:rPr>
          <w:rFonts w:eastAsia="Calibri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1F2829AD" w14:textId="77777777" w:rsidR="00FB3BEB" w:rsidRPr="00A2541C" w:rsidRDefault="00FB3BEB" w:rsidP="00FB3BEB">
      <w:pPr>
        <w:numPr>
          <w:ilvl w:val="0"/>
          <w:numId w:val="2"/>
        </w:numPr>
        <w:tabs>
          <w:tab w:val="left" w:pos="426"/>
        </w:tabs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A2541C">
        <w:rPr>
          <w:rFonts w:eastAsia="Calibri"/>
        </w:rPr>
        <w:t>По отношение на представлявания от мен кандидат са налице следните обстоятелства:</w:t>
      </w:r>
    </w:p>
    <w:p w14:paraId="62D39B20" w14:textId="77777777" w:rsidR="00FB3BEB" w:rsidRPr="00A2541C" w:rsidRDefault="00FB3BEB" w:rsidP="00FB3BEB">
      <w:pPr>
        <w:tabs>
          <w:tab w:val="left" w:pos="142"/>
        </w:tabs>
        <w:spacing w:before="60" w:line="276" w:lineRule="auto"/>
        <w:jc w:val="both"/>
        <w:rPr>
          <w:rFonts w:eastAsia="Calibri"/>
          <w:lang w:val="x-none"/>
        </w:rPr>
      </w:pPr>
      <w:r>
        <w:rPr>
          <w:rFonts w:eastAsia="Calibri"/>
          <w:lang w:val="x-none"/>
        </w:rPr>
        <w:t>-</w:t>
      </w:r>
      <w:r>
        <w:rPr>
          <w:rFonts w:eastAsia="Calibri"/>
          <w:lang w:val="x-none"/>
        </w:rPr>
        <w:tab/>
        <w:t xml:space="preserve">Не е обявен </w:t>
      </w:r>
      <w:r w:rsidRPr="00A2541C">
        <w:rPr>
          <w:rFonts w:eastAsia="Calibri"/>
          <w:lang w:val="x-none"/>
        </w:rPr>
        <w:t xml:space="preserve">в несъстоятелност; </w:t>
      </w:r>
    </w:p>
    <w:p w14:paraId="6AF30D30" w14:textId="77777777" w:rsidR="00FB3BEB" w:rsidRPr="00A2541C" w:rsidRDefault="00FB3BEB" w:rsidP="00FB3BEB">
      <w:pPr>
        <w:tabs>
          <w:tab w:val="left" w:pos="142"/>
        </w:tabs>
        <w:spacing w:before="60" w:line="276" w:lineRule="auto"/>
        <w:jc w:val="both"/>
        <w:rPr>
          <w:rFonts w:eastAsia="Calibri"/>
          <w:lang w:val="x-none"/>
        </w:rPr>
      </w:pPr>
      <w:r w:rsidRPr="00A2541C">
        <w:rPr>
          <w:rFonts w:eastAsia="Calibri"/>
          <w:lang w:val="x-none"/>
        </w:rPr>
        <w:t>-</w:t>
      </w:r>
      <w:r w:rsidRPr="00A2541C">
        <w:rPr>
          <w:rFonts w:eastAsia="Calibri"/>
          <w:lang w:val="x-none"/>
        </w:rPr>
        <w:tab/>
        <w:t xml:space="preserve">Не е в производство по несъстоятелност; </w:t>
      </w:r>
    </w:p>
    <w:p w14:paraId="094DE03A" w14:textId="77777777" w:rsidR="00FB3BEB" w:rsidRPr="00A2541C" w:rsidRDefault="00FB3BEB" w:rsidP="00FB3BEB">
      <w:pPr>
        <w:tabs>
          <w:tab w:val="left" w:pos="142"/>
        </w:tabs>
        <w:spacing w:before="60" w:line="276" w:lineRule="auto"/>
        <w:jc w:val="both"/>
        <w:rPr>
          <w:rFonts w:eastAsia="Calibri"/>
          <w:lang w:val="x-none"/>
        </w:rPr>
      </w:pPr>
      <w:r w:rsidRPr="00A2541C">
        <w:rPr>
          <w:rFonts w:eastAsia="Calibri"/>
          <w:lang w:val="x-none"/>
        </w:rPr>
        <w:t>-</w:t>
      </w:r>
      <w:r w:rsidRPr="00A2541C">
        <w:rPr>
          <w:rFonts w:eastAsia="Calibri"/>
          <w:lang w:val="x-none"/>
        </w:rPr>
        <w:tab/>
        <w:t xml:space="preserve">Не е в процедура по ликвидация; </w:t>
      </w:r>
    </w:p>
    <w:p w14:paraId="0B9FD93B" w14:textId="77777777" w:rsidR="00FB3BEB" w:rsidRPr="00A2541C" w:rsidRDefault="00FB3BEB" w:rsidP="00FB3BEB">
      <w:pPr>
        <w:tabs>
          <w:tab w:val="left" w:pos="142"/>
        </w:tabs>
        <w:spacing w:before="60" w:line="276" w:lineRule="auto"/>
        <w:jc w:val="both"/>
        <w:rPr>
          <w:rFonts w:eastAsia="Calibri"/>
          <w:lang w:val="x-none"/>
        </w:rPr>
      </w:pPr>
      <w:r w:rsidRPr="00A2541C">
        <w:rPr>
          <w:rFonts w:eastAsia="Calibri"/>
          <w:lang w:val="x-none"/>
        </w:rPr>
        <w:t>-</w:t>
      </w:r>
      <w:r w:rsidRPr="00A2541C">
        <w:rPr>
          <w:rFonts w:eastAsia="Calibri"/>
          <w:lang w:val="x-none"/>
        </w:rPr>
        <w:tab/>
        <w:t xml:space="preserve">Не е сключил извънсъдебно споразумение с кредиторите си по смисъла на чл. 740 от Търговския закон; </w:t>
      </w:r>
    </w:p>
    <w:p w14:paraId="0E5D5CD7" w14:textId="77777777" w:rsidR="00FB3BEB" w:rsidRPr="00A2541C" w:rsidRDefault="00FB3BEB" w:rsidP="00FB3BEB">
      <w:pPr>
        <w:tabs>
          <w:tab w:val="left" w:pos="142"/>
        </w:tabs>
        <w:spacing w:before="60" w:line="276" w:lineRule="auto"/>
        <w:jc w:val="both"/>
        <w:rPr>
          <w:rFonts w:eastAsia="Calibri"/>
          <w:lang w:val="x-none"/>
        </w:rPr>
      </w:pPr>
      <w:r w:rsidRPr="00A2541C">
        <w:rPr>
          <w:rFonts w:eastAsia="Calibri"/>
          <w:lang w:val="x-none"/>
        </w:rPr>
        <w:t>-</w:t>
      </w:r>
      <w:r w:rsidRPr="00A2541C">
        <w:rPr>
          <w:rFonts w:eastAsia="Calibri"/>
          <w:lang w:val="x-none"/>
        </w:rPr>
        <w:tab/>
        <w:t xml:space="preserve">Не е преустановил дейността си; </w:t>
      </w:r>
    </w:p>
    <w:p w14:paraId="2EBF649F" w14:textId="77777777" w:rsidR="00FB3BEB" w:rsidRPr="00A2541C" w:rsidRDefault="00FB3BEB" w:rsidP="00FB3BEB">
      <w:pPr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A2541C">
        <w:rPr>
          <w:rFonts w:eastAsia="Calibri"/>
        </w:rPr>
        <w:t>Не е</w:t>
      </w:r>
      <w:r w:rsidRPr="00A2541C">
        <w:rPr>
          <w:rFonts w:eastAsia="Calibr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14:paraId="7F83EA4B" w14:textId="77777777" w:rsidR="00FB3BEB" w:rsidRPr="00A2541C" w:rsidRDefault="00FB3BEB" w:rsidP="00FB3BEB">
      <w:pPr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A2541C">
        <w:rPr>
          <w:rFonts w:eastAsia="Calibri"/>
        </w:rPr>
        <w:t>Не е</w:t>
      </w:r>
      <w:r w:rsidRPr="00A2541C">
        <w:rPr>
          <w:rFonts w:eastAsia="Calibri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14:paraId="02C04AD7" w14:textId="77777777" w:rsidR="00FB3BEB" w:rsidRPr="00A2541C" w:rsidRDefault="00FB3BEB" w:rsidP="00FB3BEB">
      <w:pPr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A2541C">
        <w:rPr>
          <w:rFonts w:eastAsia="Calibri"/>
        </w:rPr>
        <w:t>Не е</w:t>
      </w:r>
      <w:r w:rsidRPr="00A2541C">
        <w:rPr>
          <w:rFonts w:eastAsia="Calibri"/>
          <w:lang w:val="x-none"/>
        </w:rPr>
        <w:t xml:space="preserve"> доказано, че е виновен за неизпълнение на договор за обществена поръчка</w:t>
      </w:r>
      <w:r w:rsidRPr="00A2541C">
        <w:rPr>
          <w:rFonts w:eastAsia="Calibri"/>
        </w:rPr>
        <w:t xml:space="preserve"> или на</w:t>
      </w:r>
      <w:r w:rsidRPr="00A2541C">
        <w:rPr>
          <w:rFonts w:eastAsia="Calibri"/>
          <w:lang w:val="x-none"/>
        </w:rPr>
        <w:t xml:space="preserve"> договор за концесия за строителство</w:t>
      </w:r>
      <w:r w:rsidRPr="00A2541C">
        <w:rPr>
          <w:rFonts w:eastAsia="Calibri"/>
        </w:rPr>
        <w:t xml:space="preserve"> или за услуга</w:t>
      </w:r>
      <w:r w:rsidRPr="00A2541C">
        <w:rPr>
          <w:rFonts w:eastAsia="Calibri"/>
          <w:lang w:val="x-none"/>
        </w:rPr>
        <w:t xml:space="preserve">, довело до </w:t>
      </w:r>
      <w:r w:rsidRPr="00A2541C">
        <w:rPr>
          <w:rFonts w:eastAsia="Calibri"/>
        </w:rPr>
        <w:t xml:space="preserve">разваляне или </w:t>
      </w:r>
      <w:r w:rsidRPr="00A2541C">
        <w:rPr>
          <w:rFonts w:eastAsia="Calibri"/>
          <w:lang w:val="x-none"/>
        </w:rPr>
        <w:t>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14:paraId="2603DCDE" w14:textId="77777777" w:rsidR="00FB3BEB" w:rsidRPr="00327299" w:rsidRDefault="00FB3BEB" w:rsidP="00FB3BEB">
      <w:pPr>
        <w:widowControl w:val="0"/>
        <w:tabs>
          <w:tab w:val="left" w:pos="426"/>
        </w:tabs>
        <w:autoSpaceDE w:val="0"/>
        <w:autoSpaceDN w:val="0"/>
        <w:adjustRightInd w:val="0"/>
        <w:spacing w:before="60" w:line="276" w:lineRule="auto"/>
        <w:jc w:val="both"/>
        <w:rPr>
          <w:rFonts w:eastAsia="Calibri"/>
          <w:lang w:val="x-none"/>
        </w:rPr>
      </w:pPr>
      <w:r>
        <w:rPr>
          <w:rFonts w:eastAsia="Calibri"/>
        </w:rPr>
        <w:t xml:space="preserve">- </w:t>
      </w:r>
      <w:r w:rsidRPr="00C66D43">
        <w:rPr>
          <w:rFonts w:eastAsia="Calibri"/>
          <w:lang w:val="x-none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</w:t>
      </w:r>
      <w:r w:rsidRPr="000A6570">
        <w:rPr>
          <w:rFonts w:eastAsia="Calibri"/>
          <w:lang w:val="x-none"/>
        </w:rPr>
        <w:t xml:space="preserve">, към държавата или към </w:t>
      </w:r>
      <w:r>
        <w:rPr>
          <w:rFonts w:eastAsia="Calibri"/>
        </w:rPr>
        <w:t xml:space="preserve">Столична община и към </w:t>
      </w:r>
      <w:r w:rsidRPr="000A6570">
        <w:rPr>
          <w:rFonts w:eastAsia="Calibri"/>
          <w:lang w:val="x-none"/>
        </w:rPr>
        <w:t>общината</w:t>
      </w:r>
      <w:r>
        <w:rPr>
          <w:rFonts w:eastAsia="Calibri"/>
          <w:lang w:val="x-none"/>
        </w:rPr>
        <w:t xml:space="preserve"> по седалище на кандидата</w:t>
      </w:r>
      <w:r w:rsidRPr="000A6570">
        <w:rPr>
          <w:rFonts w:eastAsia="Calibri"/>
          <w:lang w:val="x-none"/>
        </w:rPr>
        <w:t>, или аналогични задължения съгласно законодателството на държавата, в която кандидатът е установен, доказани с влязъл в сила акт на компетентен</w:t>
      </w:r>
      <w:r>
        <w:rPr>
          <w:rFonts w:eastAsia="Calibri"/>
        </w:rPr>
        <w:t xml:space="preserve"> орган</w:t>
      </w:r>
      <w:r w:rsidRPr="000A6570">
        <w:rPr>
          <w:rFonts w:eastAsia="Calibri"/>
          <w:lang w:val="x-none"/>
        </w:rPr>
        <w:t xml:space="preserve">, и не е допуснато разсрочване, отсрочване и обезпечение на задълженията, или размерът на неплатените дължими данъци или </w:t>
      </w:r>
      <w:proofErr w:type="spellStart"/>
      <w:r w:rsidRPr="000A6570">
        <w:rPr>
          <w:rFonts w:eastAsia="Calibri"/>
          <w:lang w:val="x-none"/>
        </w:rPr>
        <w:t>социалноосигурителни</w:t>
      </w:r>
      <w:proofErr w:type="spellEnd"/>
      <w:r w:rsidRPr="000A6570">
        <w:rPr>
          <w:rFonts w:eastAsia="Calibri"/>
          <w:lang w:val="x-none"/>
        </w:rPr>
        <w:t xml:space="preserve"> вноски </w:t>
      </w:r>
      <w:r w:rsidRPr="00C66D43">
        <w:rPr>
          <w:rFonts w:eastAsia="Calibri"/>
        </w:rPr>
        <w:t>не е повече от 1 на сто от сумата на годишния общ оборот за последната приключена финансова година или не е повече от 50 000 лева</w:t>
      </w:r>
      <w:r>
        <w:rPr>
          <w:rFonts w:eastAsia="Calibri"/>
        </w:rPr>
        <w:t>;</w:t>
      </w:r>
    </w:p>
    <w:p w14:paraId="7D3D046B" w14:textId="77777777" w:rsidR="00FB3BEB" w:rsidRPr="00A2541C" w:rsidRDefault="00FB3BEB" w:rsidP="00FB3BEB">
      <w:pPr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327299">
        <w:rPr>
          <w:rFonts w:eastAsia="Calibri"/>
        </w:rPr>
        <w:t>Не е установено с влязло в сила наказателно постановление</w:t>
      </w:r>
      <w:r w:rsidRPr="00D76349">
        <w:rPr>
          <w:rFonts w:eastAsia="Calibri"/>
        </w:rPr>
        <w:t xml:space="preserve">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>
        <w:rPr>
          <w:rFonts w:eastAsia="Calibri"/>
        </w:rPr>
        <w:t>;</w:t>
      </w:r>
    </w:p>
    <w:p w14:paraId="28DF7090" w14:textId="77777777" w:rsidR="00FB3BEB" w:rsidRPr="009F0290" w:rsidRDefault="00FB3BEB" w:rsidP="00FB3BEB">
      <w:pPr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C491E">
        <w:rPr>
          <w:rFonts w:eastAsia="Calibri"/>
          <w:lang w:val="x-none"/>
        </w:rPr>
        <w:t xml:space="preserve">Не e изпадал в неизпълнение на решение на Европейската комисия по смисъла на </w:t>
      </w:r>
      <w:r w:rsidRPr="009F0290">
        <w:rPr>
          <w:rFonts w:eastAsia="Calibri"/>
          <w:lang w:val="x-none"/>
        </w:rPr>
        <w:t>чл. 44 от Закона за държавните помощи.</w:t>
      </w:r>
    </w:p>
    <w:p w14:paraId="1EEE092D" w14:textId="77777777" w:rsidR="00FB3BEB" w:rsidRPr="00FB3BEB" w:rsidRDefault="00FB3BEB" w:rsidP="00FB3BEB">
      <w:pPr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FB3BEB">
        <w:rPr>
          <w:rFonts w:eastAsia="Calibri"/>
          <w:lang w:val="x-none"/>
        </w:rPr>
        <w:t xml:space="preserve">Член на управителен или контролен орган, както и временно изпълняващ такава длъжност, включително прокурист или търговски пълномощник, </w:t>
      </w:r>
      <w:r w:rsidRPr="00FB3BEB">
        <w:rPr>
          <w:rFonts w:eastAsia="Calibri"/>
        </w:rPr>
        <w:t xml:space="preserve">НЕ </w:t>
      </w:r>
      <w:r w:rsidRPr="00FB3BEB">
        <w:rPr>
          <w:rFonts w:eastAsia="Calibri"/>
          <w:lang w:val="x-none"/>
        </w:rPr>
        <w:t xml:space="preserve">е свързано лице по смисъла на § 1, </w:t>
      </w:r>
      <w:r w:rsidRPr="00FB3BEB">
        <w:rPr>
          <w:rFonts w:eastAsia="Calibri"/>
        </w:rPr>
        <w:t xml:space="preserve">т. 9 </w:t>
      </w:r>
      <w:r w:rsidRPr="00FB3BEB">
        <w:rPr>
          <w:rFonts w:eastAsia="Calibri"/>
          <w:lang w:val="x-none"/>
        </w:rPr>
        <w:t xml:space="preserve">от допълнителните разпоредби на Закона за противодействие на корупцията с </w:t>
      </w:r>
      <w:r w:rsidRPr="00FB3BEB">
        <w:rPr>
          <w:rFonts w:eastAsia="Calibri"/>
        </w:rPr>
        <w:t>членовете на УС или Директора на ИБ на НДЕФ или наетите от ИБ на НДЕФ лица.</w:t>
      </w:r>
    </w:p>
    <w:p w14:paraId="2CE2B40D" w14:textId="77777777" w:rsidR="00FB3BEB" w:rsidRPr="00A2541C" w:rsidRDefault="00FB3BEB" w:rsidP="00FB3BEB">
      <w:pPr>
        <w:tabs>
          <w:tab w:val="left" w:pos="426"/>
          <w:tab w:val="left" w:pos="720"/>
        </w:tabs>
        <w:rPr>
          <w:b/>
        </w:rPr>
      </w:pPr>
    </w:p>
    <w:p w14:paraId="43022046" w14:textId="77777777" w:rsidR="00471AAC" w:rsidRPr="00D61A8B" w:rsidRDefault="00471AAC" w:rsidP="00471AAC">
      <w:pPr>
        <w:spacing w:before="60" w:after="60" w:line="320" w:lineRule="atLeast"/>
        <w:ind w:left="75"/>
        <w:jc w:val="center"/>
        <w:rPr>
          <w:rFonts w:ascii="Book Antiqua" w:hAnsi="Book Antiqua"/>
          <w:b/>
          <w:sz w:val="28"/>
          <w:szCs w:val="28"/>
        </w:rPr>
      </w:pPr>
    </w:p>
    <w:p w14:paraId="3CA32E1C" w14:textId="77777777" w:rsidR="00471AAC" w:rsidRPr="00D61A8B" w:rsidRDefault="00471AAC" w:rsidP="00262DB5">
      <w:pPr>
        <w:ind w:firstLine="284"/>
        <w:rPr>
          <w:rStyle w:val="spelle"/>
          <w:rFonts w:ascii="Book Antiqua" w:hAnsi="Book Antiqua"/>
        </w:rPr>
      </w:pPr>
    </w:p>
    <w:p w14:paraId="3BECE6E1" w14:textId="5F3D386A" w:rsidR="00CE4017" w:rsidRPr="008E583E" w:rsidRDefault="00471AAC" w:rsidP="00262DB5">
      <w:pPr>
        <w:ind w:firstLine="284"/>
        <w:rPr>
          <w:rFonts w:ascii="Book Antiqua" w:hAnsi="Book Antiqua"/>
          <w:lang w:val="ru-RU"/>
        </w:rPr>
      </w:pPr>
      <w:r w:rsidRPr="00D61A8B">
        <w:rPr>
          <w:rStyle w:val="spelle"/>
          <w:rFonts w:ascii="Book Antiqua" w:hAnsi="Book Antiqua"/>
        </w:rPr>
        <w:t>Дата</w:t>
      </w:r>
      <w:r w:rsidRPr="00D61A8B">
        <w:rPr>
          <w:rFonts w:ascii="Book Antiqua" w:hAnsi="Book Antiqua"/>
        </w:rPr>
        <w:t xml:space="preserve"> </w:t>
      </w:r>
      <w:r w:rsidRPr="00D61A8B">
        <w:rPr>
          <w:rStyle w:val="spelle"/>
          <w:rFonts w:ascii="Book Antiqua" w:hAnsi="Book Antiqua"/>
        </w:rPr>
        <w:t>на</w:t>
      </w:r>
      <w:r w:rsidRPr="00D61A8B">
        <w:rPr>
          <w:rFonts w:ascii="Book Antiqua" w:hAnsi="Book Antiqua"/>
        </w:rPr>
        <w:t xml:space="preserve"> </w:t>
      </w:r>
      <w:r w:rsidRPr="00D61A8B">
        <w:rPr>
          <w:rStyle w:val="spelle"/>
          <w:rFonts w:ascii="Book Antiqua" w:hAnsi="Book Antiqua"/>
        </w:rPr>
        <w:t>деклариране</w:t>
      </w:r>
      <w:r w:rsidRPr="00D61A8B">
        <w:rPr>
          <w:rFonts w:ascii="Book Antiqua" w:hAnsi="Book Antiqua"/>
        </w:rPr>
        <w:t xml:space="preserve">: </w:t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Style w:val="spelle"/>
          <w:rFonts w:ascii="Book Antiqua" w:hAnsi="Book Antiqua"/>
        </w:rPr>
        <w:t>Декларатор</w:t>
      </w:r>
      <w:r w:rsidRPr="00D61A8B">
        <w:rPr>
          <w:rFonts w:ascii="Book Antiqua" w:hAnsi="Book Antiqua"/>
        </w:rPr>
        <w:t>: ......................................... </w:t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Pr="00D61A8B">
        <w:rPr>
          <w:rFonts w:ascii="Book Antiqua" w:hAnsi="Book Antiqua"/>
        </w:rPr>
        <w:tab/>
      </w:r>
      <w:r w:rsidR="00FB3BEB">
        <w:rPr>
          <w:rFonts w:ascii="Book Antiqua" w:hAnsi="Book Antiqua"/>
          <w:lang w:val="en-US"/>
        </w:rPr>
        <w:t xml:space="preserve">      </w:t>
      </w:r>
      <w:bookmarkStart w:id="0" w:name="_GoBack"/>
      <w:bookmarkEnd w:id="0"/>
      <w:r w:rsidRPr="00D61A8B">
        <w:rPr>
          <w:rFonts w:ascii="Book Antiqua" w:hAnsi="Book Antiqua"/>
        </w:rPr>
        <w:t>(</w:t>
      </w:r>
      <w:r w:rsidRPr="00D61A8B">
        <w:rPr>
          <w:rStyle w:val="spelle"/>
          <w:rFonts w:ascii="Book Antiqua" w:hAnsi="Book Antiqua"/>
        </w:rPr>
        <w:t>подпис</w:t>
      </w:r>
      <w:r w:rsidRPr="00D61A8B">
        <w:rPr>
          <w:rFonts w:ascii="Book Antiqua" w:hAnsi="Book Antiqua"/>
        </w:rPr>
        <w:t>)</w:t>
      </w:r>
    </w:p>
    <w:sectPr w:rsidR="00CE4017" w:rsidRPr="008E583E" w:rsidSect="0039133C">
      <w:headerReference w:type="default" r:id="rId7"/>
      <w:headerReference w:type="first" r:id="rId8"/>
      <w:pgSz w:w="11906" w:h="16838"/>
      <w:pgMar w:top="1417" w:right="1417" w:bottom="1417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C6C40" w14:textId="77777777" w:rsidR="007F4272" w:rsidRDefault="007F4272">
      <w:r>
        <w:separator/>
      </w:r>
    </w:p>
  </w:endnote>
  <w:endnote w:type="continuationSeparator" w:id="0">
    <w:p w14:paraId="5C98FEE9" w14:textId="77777777" w:rsidR="007F4272" w:rsidRDefault="007F4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74547" w14:textId="77777777" w:rsidR="007F4272" w:rsidRDefault="007F4272">
      <w:r>
        <w:separator/>
      </w:r>
    </w:p>
  </w:footnote>
  <w:footnote w:type="continuationSeparator" w:id="0">
    <w:p w14:paraId="4688F3F4" w14:textId="77777777" w:rsidR="007F4272" w:rsidRDefault="007F4272">
      <w:r>
        <w:continuationSeparator/>
      </w:r>
    </w:p>
  </w:footnote>
  <w:footnote w:id="1">
    <w:p w14:paraId="1022331D" w14:textId="77777777" w:rsidR="00FB3BEB" w:rsidRPr="00597B94" w:rsidRDefault="00FB3BEB" w:rsidP="00FB3BEB">
      <w:pPr>
        <w:pStyle w:val="FootnoteText"/>
        <w:jc w:val="both"/>
        <w:rPr>
          <w:sz w:val="18"/>
          <w:szCs w:val="18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Pr="00597B94">
        <w:rPr>
          <w:sz w:val="18"/>
          <w:szCs w:val="18"/>
        </w:rPr>
        <w:t xml:space="preserve">Декларацията се попълва и подписва от </w:t>
      </w:r>
      <w:r w:rsidRPr="00493E21">
        <w:rPr>
          <w:b/>
          <w:sz w:val="18"/>
          <w:szCs w:val="18"/>
          <w:u w:val="single"/>
        </w:rPr>
        <w:t>ВСИЧКИ</w:t>
      </w:r>
      <w:r w:rsidRPr="00597B94">
        <w:rPr>
          <w:sz w:val="18"/>
          <w:szCs w:val="18"/>
        </w:rPr>
        <w:t xml:space="preserve"> лица</w:t>
      </w:r>
      <w:r>
        <w:rPr>
          <w:sz w:val="18"/>
          <w:szCs w:val="18"/>
        </w:rPr>
        <w:t>,</w:t>
      </w:r>
      <w:r w:rsidRPr="00597B94">
        <w:rPr>
          <w:sz w:val="18"/>
          <w:szCs w:val="18"/>
        </w:rPr>
        <w:t xml:space="preserve"> </w:t>
      </w:r>
      <w:r w:rsidRPr="001622B8">
        <w:rPr>
          <w:sz w:val="18"/>
          <w:szCs w:val="18"/>
        </w:rPr>
        <w:t>които са официални представляващи на кандидата и са вписани като та</w:t>
      </w:r>
      <w:r>
        <w:rPr>
          <w:sz w:val="18"/>
          <w:szCs w:val="18"/>
        </w:rPr>
        <w:t>кива в ТР</w:t>
      </w:r>
      <w:r w:rsidRPr="001622B8">
        <w:rPr>
          <w:sz w:val="18"/>
          <w:szCs w:val="18"/>
        </w:rPr>
        <w:t>ЮЛНЦ</w:t>
      </w:r>
      <w:r w:rsidRPr="001622B8" w:rsidDel="001622B8">
        <w:rPr>
          <w:sz w:val="18"/>
          <w:szCs w:val="18"/>
        </w:rPr>
        <w:t xml:space="preserve"> </w:t>
      </w:r>
      <w:r w:rsidRPr="00D23325">
        <w:rPr>
          <w:sz w:val="18"/>
          <w:szCs w:val="18"/>
        </w:rPr>
        <w:t xml:space="preserve">(вкл. прокурист/и, ако е приложимо), </w:t>
      </w:r>
      <w:r w:rsidRPr="00597B94">
        <w:rPr>
          <w:sz w:val="18"/>
          <w:szCs w:val="18"/>
        </w:rPr>
        <w:t xml:space="preserve">независимо от това дали </w:t>
      </w:r>
      <w:r>
        <w:rPr>
          <w:sz w:val="18"/>
          <w:szCs w:val="18"/>
        </w:rPr>
        <w:t xml:space="preserve">представляват лечебното заведение-кандидат </w:t>
      </w:r>
      <w:r w:rsidRPr="00597B94">
        <w:rPr>
          <w:sz w:val="18"/>
          <w:szCs w:val="18"/>
        </w:rPr>
        <w:t>заедно и/или поотделно, и/или по друг начин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5DE6C" w14:textId="4355EB0B" w:rsidR="000C7673" w:rsidRDefault="008E583E" w:rsidP="008E583E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4341C3" wp14:editId="5226DA30">
              <wp:simplePos x="0" y="0"/>
              <wp:positionH relativeFrom="column">
                <wp:posOffset>-142875</wp:posOffset>
              </wp:positionH>
              <wp:positionV relativeFrom="paragraph">
                <wp:posOffset>-125730</wp:posOffset>
              </wp:positionV>
              <wp:extent cx="5286375" cy="584200"/>
              <wp:effectExtent l="0" t="0" r="9525" b="635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584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FB4C26" w14:textId="112E96A5" w:rsidR="000C7673" w:rsidRPr="007D6D5D" w:rsidRDefault="000C7673" w:rsidP="008E583E">
                          <w:pPr>
                            <w:jc w:val="center"/>
                            <w:rPr>
                              <w:noProof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341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1.25pt;margin-top:-9.9pt;width:416.25pt;height:4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" stroked="f">
              <v:textbox>
                <w:txbxContent>
                  <w:p w14:paraId="78FB4C26" w14:textId="112E96A5" w:rsidR="000C7673" w:rsidRPr="007D6D5D" w:rsidRDefault="000C7673" w:rsidP="008E583E">
                    <w:pPr>
                      <w:jc w:val="center"/>
                      <w:rPr>
                        <w:noProof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3E59B" w14:textId="34DB0620" w:rsidR="00C33C98" w:rsidRPr="00C33C98" w:rsidRDefault="0039133C" w:rsidP="00C33C98">
    <w:pPr>
      <w:jc w:val="center"/>
      <w:rPr>
        <w:rFonts w:ascii="Book Antiqua" w:eastAsiaTheme="minorHAnsi" w:hAnsi="Book Antiqua" w:cstheme="minorBidi"/>
        <w:bCs/>
        <w:kern w:val="2"/>
        <w:sz w:val="22"/>
        <w:szCs w:val="22"/>
        <w:lang w:val="en-US"/>
        <w14:ligatures w14:val="standardContextual"/>
      </w:rPr>
    </w:pPr>
    <w:r w:rsidRPr="00AF6158">
      <w:rPr>
        <w:rFonts w:ascii="Book Antiqua" w:hAnsi="Book Antiqua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2222F39F" wp14:editId="63DCC10D">
          <wp:simplePos x="0" y="0"/>
          <wp:positionH relativeFrom="margin">
            <wp:posOffset>5869940</wp:posOffset>
          </wp:positionH>
          <wp:positionV relativeFrom="paragraph">
            <wp:posOffset>-107315</wp:posOffset>
          </wp:positionV>
          <wp:extent cx="506095" cy="506095"/>
          <wp:effectExtent l="0" t="0" r="825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3C98" w:rsidRPr="00C33C98">
      <w:rPr>
        <w:rFonts w:ascii="Book Antiqua" w:eastAsiaTheme="minorHAnsi" w:hAnsi="Book Antiqua" w:cstheme="minorBidi"/>
        <w:bCs/>
        <w:kern w:val="2"/>
        <w:sz w:val="22"/>
        <w:szCs w:val="22"/>
        <w:lang w:val="en-US"/>
        <w14:ligatures w14:val="standardContextual"/>
      </w:rPr>
      <w:t>ПОДПРОГРАМА „ЕНЕРГИЙНА ЕФЕКТИВНОСТ ЧРЕЗ ДОГОВОРИ С ГАРАНТИРАН РЕЗУЛТАТ (</w:t>
    </w:r>
    <w:r w:rsidR="00597592">
      <w:rPr>
        <w:rFonts w:ascii="Book Antiqua" w:eastAsiaTheme="minorHAnsi" w:hAnsi="Book Antiqua" w:cstheme="minorBidi"/>
        <w:bCs/>
        <w:kern w:val="2"/>
        <w:sz w:val="22"/>
        <w:szCs w:val="22"/>
        <w14:ligatures w14:val="standardContextual"/>
      </w:rPr>
      <w:t xml:space="preserve">ЕСКО </w:t>
    </w:r>
    <w:proofErr w:type="gramStart"/>
    <w:r w:rsidR="00597592">
      <w:rPr>
        <w:rFonts w:ascii="Book Antiqua" w:eastAsiaTheme="minorHAnsi" w:hAnsi="Book Antiqua" w:cstheme="minorBidi"/>
        <w:bCs/>
        <w:kern w:val="2"/>
        <w:sz w:val="22"/>
        <w:szCs w:val="22"/>
        <w14:ligatures w14:val="standardContextual"/>
      </w:rPr>
      <w:t>договори</w:t>
    </w:r>
    <w:r w:rsidR="00C33C98" w:rsidRPr="00C33C98">
      <w:rPr>
        <w:rFonts w:ascii="Book Antiqua" w:eastAsiaTheme="minorHAnsi" w:hAnsi="Book Antiqua" w:cstheme="minorBidi"/>
        <w:bCs/>
        <w:kern w:val="2"/>
        <w:sz w:val="22"/>
        <w:szCs w:val="22"/>
        <w:lang w:val="en-US"/>
        <w14:ligatures w14:val="standardContextual"/>
      </w:rPr>
      <w:t>)“</w:t>
    </w:r>
    <w:proofErr w:type="gramEnd"/>
  </w:p>
  <w:p w14:paraId="6067D18B" w14:textId="748C2A52" w:rsidR="0039133C" w:rsidRDefault="00C33C98" w:rsidP="00C33C98">
    <w:pPr>
      <w:jc w:val="center"/>
    </w:pPr>
    <w:r w:rsidRPr="00C33C98">
      <w:rPr>
        <w:rFonts w:ascii="Book Antiqua" w:eastAsiaTheme="minorHAnsi" w:hAnsi="Book Antiqua" w:cstheme="minorBidi"/>
        <w:bCs/>
        <w:kern w:val="2"/>
        <w:sz w:val="22"/>
        <w:szCs w:val="22"/>
        <w:lang w:val="en-US"/>
        <w14:ligatures w14:val="standardContextual"/>
      </w:rPr>
      <w:t>КЪМ ИНВЕСТИЦИОННА ПРОГРАМА ЗА КЛИМАТА (ИПК)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22"/>
    <w:rsid w:val="00003DBD"/>
    <w:rsid w:val="00005C43"/>
    <w:rsid w:val="000067DF"/>
    <w:rsid w:val="000074EF"/>
    <w:rsid w:val="00017C51"/>
    <w:rsid w:val="0002122E"/>
    <w:rsid w:val="00036AD4"/>
    <w:rsid w:val="000577C0"/>
    <w:rsid w:val="0007791A"/>
    <w:rsid w:val="00096531"/>
    <w:rsid w:val="000B6CA9"/>
    <w:rsid w:val="000C2EBA"/>
    <w:rsid w:val="000C3A04"/>
    <w:rsid w:val="000C60A6"/>
    <w:rsid w:val="000C7673"/>
    <w:rsid w:val="000D0F13"/>
    <w:rsid w:val="000D250E"/>
    <w:rsid w:val="000E0254"/>
    <w:rsid w:val="000E08C7"/>
    <w:rsid w:val="000F14F5"/>
    <w:rsid w:val="000F567F"/>
    <w:rsid w:val="001118E5"/>
    <w:rsid w:val="00134FE4"/>
    <w:rsid w:val="001564F5"/>
    <w:rsid w:val="001649BB"/>
    <w:rsid w:val="00190C5B"/>
    <w:rsid w:val="001E323A"/>
    <w:rsid w:val="001E66C2"/>
    <w:rsid w:val="001E7B0E"/>
    <w:rsid w:val="001F4F63"/>
    <w:rsid w:val="0020655A"/>
    <w:rsid w:val="0021072B"/>
    <w:rsid w:val="00211494"/>
    <w:rsid w:val="0023131A"/>
    <w:rsid w:val="00262DB5"/>
    <w:rsid w:val="00274D2D"/>
    <w:rsid w:val="00283753"/>
    <w:rsid w:val="00291B05"/>
    <w:rsid w:val="002A2F85"/>
    <w:rsid w:val="002B1CE1"/>
    <w:rsid w:val="002C27B2"/>
    <w:rsid w:val="002D290E"/>
    <w:rsid w:val="002D4B1C"/>
    <w:rsid w:val="002E42F8"/>
    <w:rsid w:val="002F5B28"/>
    <w:rsid w:val="002F6FB2"/>
    <w:rsid w:val="00305A6C"/>
    <w:rsid w:val="00324422"/>
    <w:rsid w:val="00331538"/>
    <w:rsid w:val="00335740"/>
    <w:rsid w:val="00337AB1"/>
    <w:rsid w:val="003639BA"/>
    <w:rsid w:val="003816EA"/>
    <w:rsid w:val="0039133C"/>
    <w:rsid w:val="00396EFB"/>
    <w:rsid w:val="003A79A1"/>
    <w:rsid w:val="003B3DDA"/>
    <w:rsid w:val="003B78A0"/>
    <w:rsid w:val="003C57A3"/>
    <w:rsid w:val="003D6EC7"/>
    <w:rsid w:val="003E6960"/>
    <w:rsid w:val="00414C76"/>
    <w:rsid w:val="0041558D"/>
    <w:rsid w:val="004249F6"/>
    <w:rsid w:val="0043034C"/>
    <w:rsid w:val="00453F11"/>
    <w:rsid w:val="00455838"/>
    <w:rsid w:val="00471AAC"/>
    <w:rsid w:val="00483A6F"/>
    <w:rsid w:val="004A21F0"/>
    <w:rsid w:val="004D4C2D"/>
    <w:rsid w:val="004F45D7"/>
    <w:rsid w:val="004F775D"/>
    <w:rsid w:val="005000A2"/>
    <w:rsid w:val="00501CEE"/>
    <w:rsid w:val="0050454A"/>
    <w:rsid w:val="005115CE"/>
    <w:rsid w:val="00516D2E"/>
    <w:rsid w:val="005245FB"/>
    <w:rsid w:val="005278F3"/>
    <w:rsid w:val="00531ADB"/>
    <w:rsid w:val="00532EF1"/>
    <w:rsid w:val="00545404"/>
    <w:rsid w:val="005563A3"/>
    <w:rsid w:val="00557590"/>
    <w:rsid w:val="00560028"/>
    <w:rsid w:val="00596389"/>
    <w:rsid w:val="00597592"/>
    <w:rsid w:val="005A4F03"/>
    <w:rsid w:val="005C0636"/>
    <w:rsid w:val="005E0A82"/>
    <w:rsid w:val="00607385"/>
    <w:rsid w:val="006376BA"/>
    <w:rsid w:val="00644BD9"/>
    <w:rsid w:val="006903E9"/>
    <w:rsid w:val="0069225F"/>
    <w:rsid w:val="006949CF"/>
    <w:rsid w:val="006F1709"/>
    <w:rsid w:val="0074012A"/>
    <w:rsid w:val="007615E1"/>
    <w:rsid w:val="00770660"/>
    <w:rsid w:val="00776400"/>
    <w:rsid w:val="00784429"/>
    <w:rsid w:val="00785E3C"/>
    <w:rsid w:val="007B5A90"/>
    <w:rsid w:val="007C1491"/>
    <w:rsid w:val="007D33D2"/>
    <w:rsid w:val="007D6773"/>
    <w:rsid w:val="007E5B26"/>
    <w:rsid w:val="007F4272"/>
    <w:rsid w:val="00847AAB"/>
    <w:rsid w:val="00854A07"/>
    <w:rsid w:val="00861411"/>
    <w:rsid w:val="008626F7"/>
    <w:rsid w:val="00871153"/>
    <w:rsid w:val="008815E4"/>
    <w:rsid w:val="008830FB"/>
    <w:rsid w:val="008924D2"/>
    <w:rsid w:val="008A3FF7"/>
    <w:rsid w:val="008B3C1C"/>
    <w:rsid w:val="008D1EBA"/>
    <w:rsid w:val="008D230E"/>
    <w:rsid w:val="008D333D"/>
    <w:rsid w:val="008D4070"/>
    <w:rsid w:val="008E583E"/>
    <w:rsid w:val="00947837"/>
    <w:rsid w:val="009653E3"/>
    <w:rsid w:val="00980C5B"/>
    <w:rsid w:val="009825C3"/>
    <w:rsid w:val="009A3309"/>
    <w:rsid w:val="009A5FB1"/>
    <w:rsid w:val="009A7D95"/>
    <w:rsid w:val="009D1988"/>
    <w:rsid w:val="009D47C0"/>
    <w:rsid w:val="009D59C1"/>
    <w:rsid w:val="009E2ADC"/>
    <w:rsid w:val="00A01196"/>
    <w:rsid w:val="00A01F22"/>
    <w:rsid w:val="00A113A1"/>
    <w:rsid w:val="00A17B35"/>
    <w:rsid w:val="00A25E42"/>
    <w:rsid w:val="00A73C14"/>
    <w:rsid w:val="00AB645D"/>
    <w:rsid w:val="00AB7545"/>
    <w:rsid w:val="00AE15EA"/>
    <w:rsid w:val="00AE7329"/>
    <w:rsid w:val="00AF0400"/>
    <w:rsid w:val="00B24E87"/>
    <w:rsid w:val="00B371E2"/>
    <w:rsid w:val="00B377B5"/>
    <w:rsid w:val="00B43328"/>
    <w:rsid w:val="00B9216B"/>
    <w:rsid w:val="00BB050D"/>
    <w:rsid w:val="00BB3952"/>
    <w:rsid w:val="00BC7C4D"/>
    <w:rsid w:val="00BD1112"/>
    <w:rsid w:val="00BD5244"/>
    <w:rsid w:val="00BE1BD9"/>
    <w:rsid w:val="00BE2C20"/>
    <w:rsid w:val="00BF1C6F"/>
    <w:rsid w:val="00BF5246"/>
    <w:rsid w:val="00C01353"/>
    <w:rsid w:val="00C16234"/>
    <w:rsid w:val="00C24992"/>
    <w:rsid w:val="00C33C98"/>
    <w:rsid w:val="00C35A53"/>
    <w:rsid w:val="00C40766"/>
    <w:rsid w:val="00C6596B"/>
    <w:rsid w:val="00C809AA"/>
    <w:rsid w:val="00C83010"/>
    <w:rsid w:val="00CB49C3"/>
    <w:rsid w:val="00CD0E7F"/>
    <w:rsid w:val="00CE4017"/>
    <w:rsid w:val="00CE7D87"/>
    <w:rsid w:val="00D206B5"/>
    <w:rsid w:val="00D25049"/>
    <w:rsid w:val="00D27D18"/>
    <w:rsid w:val="00D45D42"/>
    <w:rsid w:val="00D65E46"/>
    <w:rsid w:val="00D81CB3"/>
    <w:rsid w:val="00D96600"/>
    <w:rsid w:val="00D97678"/>
    <w:rsid w:val="00DA3D52"/>
    <w:rsid w:val="00DA509C"/>
    <w:rsid w:val="00DB3701"/>
    <w:rsid w:val="00DB3909"/>
    <w:rsid w:val="00DB75D9"/>
    <w:rsid w:val="00DD0F23"/>
    <w:rsid w:val="00DD3CB4"/>
    <w:rsid w:val="00DD3F9D"/>
    <w:rsid w:val="00DF4D13"/>
    <w:rsid w:val="00DF5159"/>
    <w:rsid w:val="00E06FB4"/>
    <w:rsid w:val="00E36981"/>
    <w:rsid w:val="00E4435B"/>
    <w:rsid w:val="00E620F0"/>
    <w:rsid w:val="00E75E35"/>
    <w:rsid w:val="00E80F89"/>
    <w:rsid w:val="00EA516B"/>
    <w:rsid w:val="00ED3904"/>
    <w:rsid w:val="00EE0F8C"/>
    <w:rsid w:val="00F1586F"/>
    <w:rsid w:val="00F165D8"/>
    <w:rsid w:val="00F2463C"/>
    <w:rsid w:val="00F31A11"/>
    <w:rsid w:val="00F349EB"/>
    <w:rsid w:val="00F3551D"/>
    <w:rsid w:val="00F91A4E"/>
    <w:rsid w:val="00FB0F17"/>
    <w:rsid w:val="00FB3BEB"/>
    <w:rsid w:val="00FC5DBF"/>
    <w:rsid w:val="00FD41CD"/>
    <w:rsid w:val="00FE0227"/>
    <w:rsid w:val="00FE3C94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A1334"/>
  <w15:docId w15:val="{0818965A-02D3-43F7-9741-4DE0FCBE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qFormat/>
    <w:rsid w:val="00E06FB4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rsid w:val="0069225F"/>
    <w:rPr>
      <w:sz w:val="24"/>
      <w:szCs w:val="24"/>
      <w:lang w:val="bg-BG" w:eastAsia="bg-BG" w:bidi="ar-SA"/>
    </w:rPr>
  </w:style>
  <w:style w:type="paragraph" w:styleId="Revision">
    <w:name w:val="Revision"/>
    <w:hidden/>
    <w:uiPriority w:val="99"/>
    <w:semiHidden/>
    <w:rsid w:val="00ED3904"/>
    <w:rPr>
      <w:sz w:val="24"/>
      <w:szCs w:val="24"/>
    </w:rPr>
  </w:style>
  <w:style w:type="paragraph" w:customStyle="1" w:styleId="Text1">
    <w:name w:val="Text 1"/>
    <w:rsid w:val="00471AAC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firstline">
    <w:name w:val="firstline"/>
    <w:basedOn w:val="Normal"/>
    <w:rsid w:val="00471AAC"/>
    <w:pPr>
      <w:spacing w:before="100" w:beforeAutospacing="1" w:after="100" w:afterAutospacing="1"/>
    </w:p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FB3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694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keywords/>
  <cp:lastModifiedBy>I.Tzekov.PC3-DESK</cp:lastModifiedBy>
  <cp:revision>3</cp:revision>
  <cp:lastPrinted>2010-02-19T09:27:00Z</cp:lastPrinted>
  <dcterms:created xsi:type="dcterms:W3CDTF">2024-09-09T14:38:00Z</dcterms:created>
  <dcterms:modified xsi:type="dcterms:W3CDTF">2024-09-16T13:53:00Z</dcterms:modified>
</cp:coreProperties>
</file>